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w:t>
      </w:r>
    </w:p>
    <w:p>
      <w:r>
        <w:t>Bundesgericht (BGE), 2008-10-28, DE</w:t>
      </w:r>
    </w:p>
    <w:p>
      <w:r>
        <w:rPr>
          <w:b/>
        </w:rPr>
        <w:t xml:space="preserve">Quelle: </w:t>
      </w:r>
      <w:r>
        <w:t>https://mcp.opencaselaw.ch/entscheid/bge_135 III 1</w:t>
      </w:r>
    </w:p>
    <w:p>
      <w:r>
        <w:t>FR: ATF 135 III 1</w:t>
      </w:r>
    </w:p>
    <w:p>
      <w:r>
        <w:t>IT: DTF 135 III 1</w:t>
      </w:r>
    </w:p>
    <w:p>
      <w:pPr>
        <w:pStyle w:val="Heading2"/>
      </w:pPr>
      <w:r>
        <w:t>Regeste</w:t>
      </w:r>
    </w:p>
    <w:p>
      <w:r>
        <w:t>Regeste Art. 74 Abs. 2 lit. a BGG; Rechtsfrage von grundsätzlicher Bedeutung; Allgemeine Geschäftsbedingungen; Ungewöhnlichkeitsregel - Inhaltskontrolle. Voraussetzungen für das Vorliegen einer Rechtsfrage von grundsätzlicher Bedeutung (E. 1.3). Auslegung Allgemeiner Geschäftsbedingungen (E. 2). Ungewöhnlichkeit einer Klausel bejaht, die das Kündigungsrecht des Versicherungsnehmers ausschliesst, wenn das Versicherungsunternehmen den Vertrag aufgrund einer behördlichen Anordnung anpasst (E. 3).</w:t>
      </w:r>
    </w:p>
    <w:p>
      <w:pPr>
        <w:pStyle w:val="Heading2"/>
      </w:pPr>
      <w:r>
        <w:t>Erwägungen</w:t>
      </w:r>
    </w:p>
    <w:p>
      <w:r>
        <w:rPr>
          <w:b/>
        </w:rPr>
        <w:t>E. 1.1</w:t>
      </w:r>
    </w:p>
    <w:p>
      <w:r>
        <w:t>Das Bundesgericht überprüft von Amtes wegen und mit freier Kognition, ob ein Rechtsmittel zulässig ist ( BGE 134 III 115 E. 1 S. 117, BGE 134 III 379 E. 1 S. 381).</w:t>
      </w:r>
    </w:p>
    <w:p>
      <w:r>
        <w:rPr>
          <w:b/>
        </w:rPr>
        <w:t>E. 1.2</w:t>
      </w:r>
    </w:p>
    <w:p>
      <w:r>
        <w:t>Die Beschwerde in Zivilsachen ist gegen Entscheide letzter kantonaler Instanzen zulässig ( Art. 75 Abs. 1 BGG ). Dies setzt voraus, dass die vor Bundesgericht erhobenen Rügen mit keinem kantonalen Rechtsmittel hätten geltend gemacht werden können. Gemäss Art. 225 Abs. 1 ZPO /SG ist die Berufung an das Kantonsgericht ausgeschlossen, wenn der Streitwert - wie im vorliegenden Fall - weniger als Fr. 8'000.- beträgt. In diesen Fällen kann nach Art. 254 Abs. 1 ZPO /SG Rechtsverweigerungsbeschwerde beim Kantonsgericht erhoben werden. Da die Beschwerdeführer jedoch nicht rügen, die Kreisgerichtspräsidentin habe in Ausübung der Befugnisse willkürlich gehandelt ( Art. 254 Abs. 1 lit. c ZPO /SG) und auch keinen BGE 135 III 1 S. 4 anderen in Art. 254 Abs. 1 ZPO /SG aufgeführten Grund geltend machen, erweist sich der angefochtene Entscheid als letztinstanzlich. Gemäss Art. 75 Abs. 2 BGG haben die Kantone grundsätzlich zwei Instanzen vorzusehen, denen mindestens die gleiche Kognition wie dem Bundesgericht zukommen muss (Art. 75 Abs. 1 in Verbindung mit Art. 111 Abs. 3 BGG ). Zur notwendigen Anpassung steht den Kantonen eine Übergangsfrist zu, die noch nicht abgelaufen ist ( Art. 130 Abs. 2 BGG ). Demnach ist für die Annahme der Letztinstanzlichkeit unerheblich, dass es sich beim Kreisgerichtspräsidium nicht um ein oberes Gericht im Sinne von Art. 75 Abs. 2 BGG handelt.</w:t>
      </w:r>
    </w:p>
    <w:p>
      <w:r>
        <w:rPr>
          <w:b/>
        </w:rPr>
        <w:t>E. 1.3</w:t>
      </w:r>
    </w:p>
    <w:p>
      <w:r>
        <w:t>In vermögensrechtlichen Angelegenheiten ist die Beschwerde in Zivilsachen grundsätzlich nur gegeben, wenn der Streitwert mindestens Fr. 30'000.- beträgt ( Art. 74 Abs. 1 lit. b BGG ). Erreicht der Streitwert den massgebenden Betrag nicht, ist sie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 BGE 134 III 115 E. 1.2 S. 117; BGE 133 III 493 E. 1.1 und 1.2 S. 495 f.).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133 III 645 E. 2.4 S. 648 f.).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 BGE 134 III 354 E. 1.5 S. 357 f. mit Bezug auf die Bestimmung der Kündigungsfrist gemäss Art. 336c Abs. 2 OR ) oder wenn in der Zwischenzeit neue Gesetzesbestimmungen in Kraft BGE 135 III 1 S. 5 getreten sind ( BGE 134 III 115 E. 1.2 S. 117). Ist eine Beschwerde nur unter der Voraussetzung zulässig, dass sich eine Rechtsfrage von grundsätzlicher Bedeutung stellt, ist in der Beschwerdeschrift auszuführen, warum diese Voraussetzung erfüllt ist ( Art. 42 Abs. 2 BGG ).</w:t>
      </w:r>
    </w:p>
    <w:p>
      <w:r>
        <w:rPr>
          <w:b/>
        </w:rPr>
        <w:t>E. 1.3.1</w:t>
      </w:r>
    </w:p>
    <w:p>
      <w:r>
        <w:t>Die Beschwerdeführer bilden eine einfache Streitgenossenschaft. Da sich ihre geltend gemachten Begehren nicht gegenseitig ausschliessen, werden sie zur Bestimmung des Streitwerts zusammengerechnet ( Art. 52 BGG ). Im vorliegenden Fall ist der Streitwert von Fr. 30'000.- dennoch nicht erreicht. Die Beschwerdeführer bringen vor, es stelle sich die Frage von grundsätzlicher Bedeutung, ob es der Grundsatz "pacta sunt servanda" zulasse, dass der Versicherer das Risiko einer Vertragsänderung einseitig auf den Versicherungsnehmer abwälzen könne, ohne diesem ein Korrektiv in Form des Kündigungsrechts einzuräumen. Zur Begründung führen die Beschwerdeführer aus, die Rechtslage im Zusammenhang mit Versicherungsverträgen sei seit längerer Zeit im Umbruch und von grosser Unsicherheit geprägt. Die Aufsichtsbehörde habe früher eine Prämienanpassungsregel ohne Kündigungsrecht nicht genehmigt. Im deregulierten Markt bestehe keine Genehmigungspflicht mehr. Art. 38 des Vorentwurfs vom 31. Juli 2006 zum Versicherungsvertragsgesetz (VE-VVG) wiederum sehe eine Prämienanpassungsklausel mit Kündigungsrecht des Versicherungsnehmers vor und zwar unabhängig davon, ob die einseitige Vertragsanpassung durch den Versicherer behördlich motiviert oder nach Gutdünken erfolge. Aufgrund der Übergangsbestimmungen des VE-VVG wären diese Klauseln unter Umständen während einiger Zeit bis zum Ablauf der langjährigen Versicherungsverträge nach Inkrafttreten des VVG gültig. Neben der Beschwerdegegnerin hätten in der Zwischenzeit auch andere Versicherer das Kündigungsrecht für den Fall der behördlich motivierten einseitigen Vertragsanpassung ausgeschlossen. Die Auffassung der Vorinstanz, wonach eine behördlich motivierte Vertragsanpassung kein Fall einer einseitigen Vertragsanpassung sei und somit kein ausserordentliches Kündigungsrecht zur Folge habe, führe zu einer uneinheitlichen Anwendung von Bundesrecht. Schliesslich sei die Frage für eine Vielzahl von Personen relevant, weil die Kündigung etlichen Versicherungsnehmern verweigert werde. Mit diesen Ausführungen zeigen die Beschwerdeführer auf, weshalb ihres Erachtens eine Rechtsfrage von grundsätzlicher Bedeutung vorliegt, und kommen - entgegen der Ansicht BGE 135 III 1 S. 6 der Beschwerdegegnerin - der Begründungspflicht von Art. 42 Abs. 2 BGG nach.</w:t>
      </w:r>
    </w:p>
    <w:p>
      <w:r>
        <w:rPr>
          <w:b/>
        </w:rPr>
        <w:t>E. 1.3.2</w:t>
      </w:r>
    </w:p>
    <w:p>
      <w:r>
        <w:t>Gemäss Art. 175 und Art. 176 Abs. 2 der Verordnung vom 9. November 2005 über die Beaufsichtigung von privaten Versicherungsunternehmen (Aufsichtsverordnung, AVO; SR 961.011) gelten seit dem 1. Januar 2007 höhere Deckungslimiten sowie geänderte Selbstbehalte in der Elementarschadenversicherung. Weder das Bundesgesetz vom 17. Dezember 2004 betreffend die Aufsicht über Versicherungsunternehmen (Versicherungsaufsichtsgesetz, VAG; SR 961.01) noch das Bundesgesetz vom 2. April 1908 über den Versicherungsvertrag (Versicherungsvertragsgesetz, VVG; SR 221.229.1) enthalten Bestimmungen hinsichtlich des Kündigungsrechts der Versicherungsnehmer im Zusammenhang mit diesen Anpassungen. Das Bundesgericht hat die Frage noch nie entschieden, ob dem Versicherungsnehmer ein Kündigungsrecht zusteht, wenn eine Bundesbehörde eine Änderung der Prämien, der Selbstbehalte, der Entschädigungsgrenzen oder des Deckungsumfangs bei einer gesetzlich geregelten Deckung vorschreibt und das Versicherungsunternehmen in der Folge den Versicherungsvertrag anpasst. Der Entscheid über diese Frage kann für die Praxis wegleitend sein. Die umstrittene Klausel ist in den AGB 2005 der Beschwerdegegnerin enthalten, die für zahlreiche Versicherungsverträge angewendet werden. Somit ist eine Vielzahl von Personen von Ziff. 4 Abs. 2 AGB 2005 potentiell betroffen und die von den Beschwerdeführern aufgeworfene Frage kann sich immer wieder stellen. Ob bzw. wie vielen weiteren Versicherungsnehmern das Kündigungsrecht bereits verweigert worden ist oder verweigert wird, spielt dabei keine Rolle. Zusammengefasst besteht ein Bedürfnis, dass diese Frage höchstrichterlich geklärt wird. Entgegen den Ausführungen der Beschwerdegegnerin ist von einer Rechtsfrage von grundsätzlicher Bedeutung auszugehen. Da auch die übrigen Eintretensvoraussetzungen erfüllt sind, ist auf die form- sowie fristgerecht eingereichte Beschwerde in Zivilsachen einzutreten.</w:t>
      </w:r>
    </w:p>
    <w:p>
      <w:r>
        <w:rPr>
          <w:b/>
        </w:rPr>
        <w:t>E. 2</w:t>
      </w:r>
    </w:p>
    <w:p>
      <w:r>
        <w:t>AGB-Klauseln sind, wenn sie in Verträge übernommen werden, grundsätzlich nach denselben Prinzipien auszulegen wie andere vertragliche Bestimmungen ( BGE 133 III 607 E. 2.2 S. 610, BGE 133 III 675 E. 3.3 S. 681). Art. 4 Abs. 2 der in die Verträge der Parteien integrierten AGB 2005 der Beschwerdegegnerin schliesst das Kündigungsrecht der Beschwerdeführer für den Fall ausdrücklich aus, dass eine Bundesbehörde bei einer gesetzlich geregelten Deckung eine Änderung BGE 135 III 1 S. 7 der Prämien, der Selbstbehalte, der Entschädigungsgrenzen oder des Deckungsumfangs vorschreibt und die Beschwerdegegnerin in der Folge eine entsprechende Vertragsanpassung vornimmt. Die umstrittenen Vertragsänderungen sind auf die Änderungen der AVO und auf die im Hinblick darauf ergangene Verfügung des Bundesamts für Privatversicherungen vom 2. November 2006 (BBl 2006 9299) zurückzuführen. Die Beschwerdeführer bestreiten nicht, dass Art. 4 Abs. 2 AGB 2005 die Kündigung für den vorliegenden Fall ausschliesst. Sie berufen sich jedoch auf die so genannte Ungewöhnlichkeitsregel und bestreiten, dass Art. 4 Abs. 2 AGB 2005 gültig in ihre Verträge übernommen worden sei.</w:t>
      </w:r>
    </w:p>
    <w:p>
      <w:r>
        <w:rPr>
          <w:b/>
        </w:rPr>
        <w:t>E. 2.1</w:t>
      </w:r>
    </w:p>
    <w:p>
      <w:r>
        <w:t>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 BGE 119 II 443 E. 1a S. 446).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Die Beurteilung erfolgt bezogen auf den Einzelfall. Die fragliche Klausel muss zu einer wesentlichen Änderung des Vertragscharakters führen oder in erheblichem Masse aus dem gesetzlichen Rahmen des Vertragstypus fallen ( BGE 119 II 443 E. 1a S. 446 mit Hinweisen). Je stärker eine Klausel die Rechtsstellung des Vertragspartners beeinträchtigt, desto eher ist sie als ungewöhnlich zu qualifizieren ( BGE 119 II 443 E. 1a S. 446 mit Hinweis). Als ungewöhnlich erachtete das Bundesgericht etwa eine im Rahmen vorformulierter allgemeiner Versicherungsbedingungen enthaltene Klausel, welche die Versicherungsdeckung für die Haftung gegenüber Temporärangestellten nur für leichtes, nicht jedoch für schweres Verschulden der Versicherungsnehmerin ausschloss (Urteil 4A_187/2007 vom 9. Mai 2008 E. 5.4). Sodann wurde der Ausschluss des Versicherungsschutzes einer Vollkaskoversicherung für den Fall einer einfachen Verkehrsregelverletzung als ungewöhnlich qualifiziert ( BGE 119 II 443 E. 1b S. 446 f.) sowie eine Klausel, welche die Bank zur Auszahlung des Sparheftguthabens ohne Prüfung der Identität des Inhabers ermächtigte ( BGE 116 II 459 E. 2a BGE 135 III 1 S. 8 S. 461 f.). Hingegen beurteilte das Bundesgericht eine Bestimmung nicht als ungewöhnlich, wonach der Kunde das Risiko des Verlusts oder Diebstahls von Eurochecks zu tragen hat ( BGE 122 III 373 E. 3a S. 378 f.), sowie eine Klausel, die einen Deckungsausschluss für Krankheiten und Unfälle im Zusammenhang mit Medikamentenmissbrauch und Suizidversuch vorsah (Urteil 5C.134/2004 vom 1. Oktober 2004 E. 4).</w:t>
      </w:r>
    </w:p>
    <w:p>
      <w:r>
        <w:rPr>
          <w:b/>
        </w:rPr>
        <w:t>E. 2.2</w:t>
      </w:r>
    </w:p>
    <w:p>
      <w:r>
        <w:t>In der Lehre wird seit geraumer Zeit überwiegend gefordert, dass global in den Vertrag integrierte vorformulierte allgemeine Geschäftsbedingungen inhaltlich überprüft werden und ihnen die Geltung versagt werde, wenn sie zu Lasten der anderen Vertragspartei unangemessen bzw. geschäftsfremd sind, weil sie die Risiken und Lasten unbillig verteilen. Die Lehre sieht in der Rechtsprechung des Bundesgerichts zur AGB-Problematik eine verdeckte Inhaltskontrolle, die unter dem Deckmantel der Ungewöhnlichkeitsregel vorgenommen werde (THOMAS KOLLER, Einmal mehr: das Bundesgericht und seine verdeckte AGB-Inhaltskontrolle, AJP 2008 S. 943 ff.; INGEBORG SCHWENZER, Schweizerisches Obligationenrecht, Allgemeiner Teil, 4. Aufl. 2006, Rz. 45.12 f. und 46.07; EUGEN BUCHER, in: Basler Kommentar, Obligationenrecht, 4. Aufl. 2007, N. 63 f. zu Art. 1 OR ; GUHL/KOLLER/SCHNYDER/DRUEY, Das Schweizerische Obligationenrecht, 9. Aufl. 2000, § 13 Rz. 53 f.; ERNST A. KRAMER, Berner Kommentar, 3. Aufl. 1991, N. 291 ff. zu Art. 19-20 OR und 3. Aufl. 1986, N. 208 zu Art. 1 OR ; GAUCH/SCHLUEP/SCHMID, Schweizerisches Obligationenrecht, Allgemeiner Teil, Bd. I, 9. Aufl. 2008, Rz. 1148 ff.; CLAIRE HUGUENIN, Obligationenrecht, Allgemeiner Teil, 3. Aufl. 2008, Rz. 431; STEPHAN FUHRER, in: Basler Kommentar, Bundesgesetz über den Versicherungsvertrag, 2001, N. 229 ff. zu Art. 33 VVG ; ALEXANDER BRUNNER, Die Kontrolle Allgemeiner Geschäftsbedingungen in der aktuellen schweizerischen Lehre und Praxis, ZSR 118/1999 I S. 328 ff.; HELMUT HEISS, Der Vorentwurf einer "Gesamtrevision des BG über den Versicherungsvertrag [VVG]" im Lichte der europäischen Entwicklungen, HAVE 2007 S. 243, je mit zahlreichen Hinweisen; vgl. auch CLAIRE HUGUENIN, Allgemeine Geschäftsbedingungen in der Schweiz im Lichte der neuen EU-Richtlinie über missbräuchliche Klauseln in Verbraucherverträgen, recht 13/1995 S. 87 f.; PETER GAUCH, Die Vertragshaftung der Banken und ihre AVB, recht 24/2006 S. 83 f.; ROLF H. WEBER, Allgemeine Geschäftsbedingungen der Banken - zum Problem einer Grenzziehung, Schweizerische Aktiengesellschaft 1984 S. 152 BGE 135 III 1 S. 9 und 155 ff. mit weiteren Hinweisen in Fn. 62; CARL BAUDENBACHER, Braucht die Schweiz ein AGB-Gesetz?, ZBJV 123/1987 S. 512 ff.). Im VE-VVG wird vorgeschlagen, die AGB-Problematik mit einem neuen Art. 20a Abs. 1 OR zu regeln. Danach sollen Bestimmungen in vorformulierten allgemeinen Vertragsbedingungen missbräuchlich und unwirksam sein, wenn sie den Vertragspartner des Verwenders unangemessen benachteiligen. Gemäss Absatz 2 ist eine unangemessene Benachteiligung namentlich dann anzunehmen, wenn eine Bestimmung mit wesentlichen Grundsätzen der gesetzlichen Regelung, von der zu Lasten des Vertragspartners abgewichen wird, nicht zu vereinbaren ist. Durch die Regelung im OR würde eine Inhaltskontrolle nicht nur allgemeine Versicherungsbedingungen, sondern auch andere allgemeine Geschäftsbedingungen betreffen (vgl. Eidgenössisches Finanzdepartement, Erläuternder Bericht zum Vorentwurf der Gesamtrevision des Bundesgesetzes über den Versicherungsvertrag [VVG] 2006, S. 94 f., abrufbar unter http://www.efd.admin.ch/dokumentation/zahlen/00578/01068/index.html?lang=de&amp;print_style=yes ).</w:t>
      </w:r>
    </w:p>
    <w:p>
      <w:r>
        <w:rPr>
          <w:b/>
        </w:rPr>
        <w:t>E. 2.3</w:t>
      </w:r>
    </w:p>
    <w:p>
      <w:r>
        <w:t>Aus den Feststellungen der Vorinstanz ergibt sich nicht, dass die Beschwerdegegnerin die Beschwerdeführer ausdrücklich auf Art. 4 Abs. 2 AGB 2005 hingewiesen hätte. Die Beschwerdegegnerin behauptet zwar, es sei hinreichend und deutlich auf "die Bestimmungen" der AGB hingewiesen worden. Soweit sie damit geltend machen sollte, sie habe die Beschwerdeführer besonders auf Art. 4 Abs. 2 ihrer AGB 2005 hingewiesen, erhebt sie keine hinreichend begründete Sachverhaltsrüge (Art. 97 Abs. 1 in Verbindung mit Art. 42 Abs. 2 BGG ). Es ist daher davon auszugehen, dass die Beschwerdeführer bei Abschluss der umstrittenen Verträge nicht ausdrücklich und deutlich auf Art. 4 Abs. 2 AGB 2005 aufmerksam gemacht worden sind. Folglich ist zu prüfen, ob der in den AGB 2005 der Beschwerdegegnerin vorgesehene Ausschluss der Kündigung bei Vertragsänderungen aufgrund behördlicher Anordnung als ungewöhnlich zu qualifizieren ist, so dass die Beschwerdegegnerin nicht in guten Treuen annehmen durfte, die Beschwerdeführer hätten der Klausel mit der Globalübernahme der AGB 2005 zugestimmt.</w:t>
      </w:r>
    </w:p>
    <w:p>
      <w:r>
        <w:rPr>
          <w:b/>
        </w:rPr>
        <w:t>E. 2.4</w:t>
      </w:r>
    </w:p>
    <w:p>
      <w:r>
        <w:t>Verträge aus gültig zustande gekommenen Verträgen sind so zu erfüllen, wie sie vereinbart worden sind ("pacta sunt servanda"), soweit die Parteien nicht einvernehmlich eine neue Vertragsregelung treffen. Zwar ist nach der so genannten "clausula rebus sic BGE 135 III 1 S. 10 stantibus" eine richterliche Anpassung auch gegen den Willen einer Partei möglich, wenn sich die Umstände nach Vertragsabschluss so grundlegend ändern, dass eine gravierende Äquivalenzstörung eintritt (vgl. BGE 127 III 300 E. 5b S. 304 f. mit Hinweisen). Eine Anpassung der vertraglich bestimmten Leistungen ist gesetzlich etwa für den Werkvertrag bei unvorhersehbaren ausserordentlichen Umständen vorgesehen ( Art. 373 Abs. 2 OR ). Aus wichtigen Gründen wird den Parteien beim Arbeitsvertrag ( Art. 337 Abs. 1 OR ) und beim Mietvertrag ( Art. 266g Abs. 1 OR ) sodann von Gesetzes wegen ein ausserordentliches Kündigungsrecht eingeräumt. Für Dauerverträge hat die Rechtsprechung zudem regelmässig ein Kündigungsrecht aus wichtigem Grund angenommen ( BGE 128 III 428 E. 3 S. 429 mit Hinweis). Voraussetzung für eine richterliche Vertragsanpassung nach der "clausula rebus sic stantibus" ist, dass die Verhältnisänderung beim Abschluss des Vertrags weder voraussehbar noch vermeidbar war ( BGE 127 III 300 E. 5b S. 304 f. mit Hinweisen).</w:t>
      </w:r>
    </w:p>
    <w:p>
      <w:r>
        <w:rPr>
          <w:b/>
        </w:rPr>
        <w:t>E. 2.5</w:t>
      </w:r>
    </w:p>
    <w:p>
      <w:r>
        <w:t>Rechnen die Parteien bei Vertragsabschluss mit künftigen Ereignissen, können sie für diesen Fall eine Anpassung vertraglich vorsehen. Dadurch wird der einen Partei das (Gestaltungs-)Recht eingeräumt, vom Prinzip der Vertragstreue abzuweichen und einseitig die Vertragsbestimmungen zu ändern. Damit Anpassungsklauseln aber überhaupt gültig sind, müssen regelmässig sowohl das erwartete Ereignis als auch der Umfang der Anpassung vertraglich bestimmt werden; denn ein Vertrag kommt nur zustande, wenn Leistungsinhalt sowie -umfang mindestens bestimmbar sind und so auch erfüllt werden können ( BGE 84 II 266 E. 2 S. 272; vgl. KRAMER, a.a.O., Allgemeine Einleitung, N. 74 f.; BUCHER, a.a.O., N. 22 ff. zu Art. 1 OR ; VON TUHR/PETER, Allgemeiner Teil des Schweizerischen Obligationenrechts, Bd. I, 3. Aufl. 1979, S. 51 f.; GAUCH/SCHLUEP/SCHMID, a.a.O., Rz. 344 ff.; ALFRED KOLLER, Schweizerisches Obligationenrecht, Allgemeiner Teil, Bd. I, 2006, S. 101 ff.; HANS MERZ, Obligationenrecht, Allgemeiner Teil, in: Schweizerisches Privatrecht, Bd. VI/1, 1984, S. 119 f.; vgl. auch BGE 118 II 32 E. 3a S. 33 zur Bestimmtheit des Vorvertrags sowie KRAMER, a.a.O., N. 87 f. zu Art. 22 OR und BUCHER, a.a.O., N. 33 zu Art. 22 OR ). Ein undefiniertes Gestaltungsrecht zur einseitigen Abänderung vertraglicher Leistungspflichten widerspräche der Natur und dem Zweck des Vertrags, mit dem Rechte und Pflichten jeder Vertragspartei gerade definiert werden sollen. BGE 135 III 1 S. 11</w:t>
      </w:r>
    </w:p>
    <w:p>
      <w:r>
        <w:rPr>
          <w:b/>
        </w:rPr>
        <w:t>E. 2.6</w:t>
      </w:r>
    </w:p>
    <w:p>
      <w:r>
        <w:t>Nicht jede zulässige - inhaltlich bestimmte oder bestimmbare - Anpassungsklausel ist üblich im Sinne der Ungewöhnlichkeitsregel. In gewissen Branchen dürfte es zwar durchaus üblich sein, bei bestimmten Verträgen eine Anpassung vereinbarter Preise an die Teuerung nach einem bestimmten Index vorzusehen. Ist ein künftiges Ereignis jedoch zu wenig definiert oder nicht hinreichend bestimmt, räumen sich die Parteien regelmässig ein Kündigungsrecht ein. So kann der Vermieter bzw. der Krankenversicherer nach Art. 269d OR bzw. Art. 7 Abs. 2 KVG den Vertrag einseitig anpassen, wobei dem Mieter bzw. dem Krankenversicherten - unabhängig vom Ausmass der Änderung - das Kündigungsrecht zusteht (vgl. auch BGE 132 III 24 E. 3.2 S. 27, wonach der Umstand, dass einseitige Vertragsänderungen im laufenden Mietverhältnis in Abweichung vom Grundsatz "pacta sunt servanda" zulässig sind, nach besonderen Schutzvorschriften des Mieters ruft). Bei Dauerverträgen entspricht es der allgemeinen Erwartungshaltung, dass eine Anpassungsklausel mit einem Kündigungsrecht verbunden ist, wenn sie auf einem nicht hinreichend bestimmten Ereignis beruht.</w:t>
      </w:r>
    </w:p>
    <w:p>
      <w:r>
        <w:rPr>
          <w:b/>
        </w:rPr>
        <w:t>E. 3</w:t>
      </w:r>
    </w:p>
    <w:p>
      <w:r>
        <w:t>Die Beschwerdegegnerin behält sich in Ziff. 4 Abs. 1 ihrer AGB 2005 das Recht vor, die Prämien und Selbstbehalte zu ändern, räumt dem Versicherten jedoch das Kündigungsrecht ein, sollte er mit der Änderung nicht einverstanden sein. Beruht die Vertragsänderung aber auf einer behördlichen Anordnung bei einer gesetzlich geregelten Deckung, wird das Kündigungsrecht des Versicherten ausgeschlossen (Ziff. 4 Abs. 2 AGB 2005).</w:t>
      </w:r>
    </w:p>
    <w:p>
      <w:r>
        <w:rPr>
          <w:b/>
        </w:rPr>
        <w:t>E. 3.1</w:t>
      </w:r>
    </w:p>
    <w:p>
      <w:r>
        <w:t>Die Vorinstanz verneinte die objektive Ungewöhnlichkeit von Ziff. 4 Abs. 2 AGB 2005. Sie erwog, dass zwingende behördliche Anordnungen über den vertraglichen Vereinbarungen stünden und in gleichem Masse für alle Beteiligten gelten würden, die Partei eines von der behördlichen Regelung betroffenen Versicherungsvertrags seien. Es ergebe sich keine Schlechterstellung aus dem Umstand, dass die Beschwerdeführer keine zusätzliche ausserordentliche Kündigungsmöglichkeit hätten; eine solche sei in Fällen behördlicher Anordnung einerseits nicht zu erwarten und anderseits sei den Beschwerdeführern bei Vertragsabschluss durchaus bewusst gewesen, welche Bindung sie eingingen. Als sich die Beschwerdeführer entschlossen hätten, den Versicherungsvertrag mit der Beschwerdegegnerin abzuschliessen, hätten sie damit rechnen müssen, dass während der Vertragsdauer ein anderer Versicherer ein für sie attraktiveres Angebot machen könnte oder sich die gesetzlichen BGE 135 III 1 S. 12 Bedingungen ändern würden, sie aber trotzdem an ihren bestehenden Vertrag gebunden blieben. Ziff. 4 Abs. 2 AGB 2005 verändere demnach weder wesentlich die Vertragsnatur noch falle sie in erheblichem Masse aus dem gesetzlichen Rahmen des Vertragstypus. Die Ausgestaltung der Vertragsanpassung sei das Resultat hoheitlicher Interessenabwägungen, die sich auf sämtliche Versicherungsverträge in gleicher Weise auswirke und entspringe nicht der Willkür des Versicherers.</w:t>
      </w:r>
    </w:p>
    <w:p>
      <w:r>
        <w:rPr>
          <w:b/>
        </w:rPr>
        <w:t>E. 3.2</w:t>
      </w:r>
    </w:p>
    <w:p>
      <w:r>
        <w:t>Das VVG enthält keine Bestimmung zur einseitigen Vertragsanpassung. Eine solche Norm wurde auch im Rahmen der Totalrevision des VAG und der Teilrevision des VVG nicht aufgenommen, so dass sich der Inhalt und die Tragweite des Rechts des Versicherers auf einseitige Änderung laufender Verträge nach den allgemeinen Grundsätzen des subsidiär anwendbaren OR zu richten haben (vgl. Botschaft vom 9. Mai 2003 zu einem Gesetz betreffend die Aufsicht über Versicherungsunternehmen [Versicherungsaufsichtsgesetz, VAG] und zur Änderung des Bundesgesetzes über den Versicherungsvertrag, BBl 2003 3806 f.; Art. 100 Abs. 1 VVG ). Art. 38 Abs. 1 VE-VVG sieht nun vor, dass eine einseitige Prämienanpassungsklausel in den AGB nur gültig vereinbart werden kann für den Fall, dass sich die für die Prämienberechnung massgeblichen Verhältnisse nach Vertragsabschluss in einer Weise ändern, welche die vorgesehene Erhöhung rechtfertigt. Absatz 3 derselben Bestimmung räumt dem Versicherungsnehmer das Recht ein, den Vertrag oder den von der Prämienerhöhung betroffenen Teil zu kündigen. Weder Art. 38 VE-VVG noch dem Erläuternden Bericht lässt sich entnehmen, ob auch solche Prämienerhöhungen bzw. Änderungen der Vertragsgrundlagen erfasst sind, die ihren Ursprung in einer behördlichen Anordnung haben. Als allgemeine Versicherungsbedingungen der präventiven Kontrolle durch das Bundesamt für Privatversicherungen unterstanden, wurden Prämienanpassungsklauseln, die kein Kündigungsrecht vorsahen, nicht genehmigt (vgl. STEPHAN FUHRER, Aufpassen beim Anpassen - Möglichkeiten und Grenzen der einseitigen Änderung von Versicherungsverträgen, in: Aktuelle Aspekte des Schuld- und Sachenrechts, Festschrift für Heinz Rey, 2003, S. 414).</w:t>
      </w:r>
    </w:p>
    <w:p>
      <w:r>
        <w:rPr>
          <w:b/>
        </w:rPr>
        <w:t>E. 3.3</w:t>
      </w:r>
    </w:p>
    <w:p>
      <w:r>
        <w:t>Die Beschwerdegegnerin sieht in Ziff. 4 Abs. 2 ihrer AGB 2005 nicht nur vor, dass sie den Versicherungsvertrag anpassen kann, sondern schliesst zugleich das Kündigungsrecht der Beschwerdeführer aus. Für die Beurteilung, ob der Ausschluss des BGE 135 III 1 S. 13 Kündigungsrechts erwartet wird, ist unerheblich, ob die Vertragsänderung auf einer behördlichen Anordnung beruht und von der Beschwerdegegnerin nachvollzogen oder von Letzterer selbst veranlasst wird. In beiden Fällen ist zur Zeit des Vertragsabschlusses unklar, wann, wie oft und in welchem Ausmass sich die Prämie bzw. die Vertragsgrundlagen ändern. Die Änderung der Vertragsgrundlagen kann sodann nicht auf eine allgemein bekannte Entwicklung zurückgeführt werden, die mit einer gewissen Regelmässigkeit eintritt. Es kommt auch nicht darauf an, ob die konkrete Änderung massvoll ausfällt und für sich betrachtet zumutbar ist. Dass die Beschwerdegegnerin für den in Ziff. 4 Abs. 2 AGB 2005 vorgesehenen Fall der Vertragsanpassung das Kündigungsrecht des Versicherungsnehmers ausschliesst, widerspricht der allgemeinen Erwartungshaltung der Beschwerdeführer und ist ungewöhnlich im Sinne der bundesgerichtlichen Rechtsprechung. Entgegen der Ansicht der Vorinstanz mussten die Beschwerdeführer bei Vertragsabschluss nicht damit rechnen, dass sich die Vertragsgrundlagen während der vereinbarten Vertragsdauer ändern würden, ohne dass ihnen dann die Kündigung offenstünde.</w:t>
      </w:r>
    </w:p>
    <w:p>
      <w:r>
        <w:rPr>
          <w:b/>
        </w:rPr>
        <w:t>E. 3.4</w:t>
      </w:r>
    </w:p>
    <w:p>
      <w:r>
        <w:t>Das Argument der Beschwerdegegnerin ist nicht stichhaltig, dass die behördliche Anordnung alle Versicherungsunternehmen gleichermassen betroffen habe. Die Elementarschadenversicherung für den Hausrat ist in den Wohnsitzkantonen der Beschwerdeführer nicht obligatorisch, und die Beschwerdeführer könnten angesichts der vorliegenden Anpassung einen Verzicht auf die Versicherung bevorzugen, so dass sie insofern - entgegen der Auffassung der Vorinstanz - schlechter gestellt sind, wenn ihnen kein Kündigungsrecht zusteht. Aus demselben Grund ist das Argument der Beschwerdegegnerin unbehelflich, es läge keine Gleichgewichtsverschiebung vor, da mit der Anpassung der Prämie und des Selbstbehalts eine Erhöhung der Höchsthaftungslimite verbunden sei.</w:t>
      </w:r>
    </w:p>
    <w:p>
      <w:r>
        <w:rPr>
          <w:b/>
        </w:rPr>
        <w:t>E. 3.5</w:t>
      </w:r>
    </w:p>
    <w:p>
      <w:r>
        <w:t>Die Vorinstanz hat Ziff. 4 Abs. 2 der AGB 2005 der Beschwerdegegnerin zu Unrecht nicht als ungewöhnlich qualifiziert. Die Beschwerdeführer müssen sich die Klausel somit nicht entgegenhalten lassen und konnten das Kündigungsrecht ausüben. Infolge der Ungewöhnlichkeit der Klausel stellt sich die Frage nicht, ob die bisherige Praxis zur Geltung global übernommener, ungewöhnlicher Klauseln auf eine von der herrschenden Lehre geforderte richterliche Inhaltskontrolle ausgedehnt werden soll. Ob es inhaltlich BGE 135 III 1 S. 14 gerechtfertigt ist, das Kündigungsrecht für den Fall einer behördlichen Anordnung auszuschliessen, ist demnach nicht zu prüfen. Dass die Beschwerdeführer die Versicherungsverträge mit der Beschwerdegegnerin nicht rechtzeitig gekündigt hätten, bringt die Beschwerdegegnerin nicht substanziiert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